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41232" w:rsidRPr="00570BC3" w14:paraId="4AC9EFE4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382842A9" w14:textId="77777777" w:rsidTr="001E182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641232" w:rsidP="00641232" w14:paraId="41B53F5A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641232" w:rsidP="00641232" w14:paraId="3D0AAB2D" w14:textId="3711D21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641232" w:rsidRPr="00DF23FD" w:rsidP="00641232" w14:paraId="5D55B0AB" w14:textId="3D980DE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17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6255EE" w:rsidP="00641232" w14:paraId="45CEFCDA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05-09 OCAK 2026</w:t>
            </w:r>
          </w:p>
          <w:p w:rsidR="00641232" w:rsidRPr="00570BC3" w:rsidP="00641232" w14:paraId="62E2F6F0" w14:textId="614C43B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2B0A6F" w14:paraId="29E6877B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052D8AB1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727D5C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7E4055EE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Sağlıklı Hayat</w:t>
            </w:r>
          </w:p>
        </w:tc>
      </w:tr>
      <w:tr w14:paraId="4BF88711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F2E6C4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D42246" w:rsidP="00CF3C9F" w14:paraId="72FC1683" w14:textId="73BB2B15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D42246">
              <w:rPr>
                <w:rFonts w:ascii="Tahoma" w:hAnsi="Tahoma" w:cs="Tahoma"/>
                <w:color w:val="FF0000"/>
              </w:rPr>
              <w:t>SAĞLIKLI BESLENİYORUM</w:t>
            </w:r>
          </w:p>
        </w:tc>
      </w:tr>
      <w:tr w14:paraId="7516F98A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18626B2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12B64237" w14:textId="20A61D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14:paraId="0112E2C0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D7020DE" w14:textId="1325CC69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21A99055" w14:textId="716A7D72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HB.3.3.4.  Sağlığını korumak için yeterli ve dengeli beslenir.</w:t>
            </w:r>
          </w:p>
        </w:tc>
      </w:tr>
      <w:tr w14:paraId="3AA6EDE9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C91995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08B59F2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1D09370E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101E89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31441C9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4573878B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0591CD09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71809545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7C23BEF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P="006255EE" w14:paraId="1E54840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Sağlıklı büyümek  için dengeli beslenmenin gerekliliği vurgulanır. Ayrıca obezite, diyabet, çölyak ve besin alerjisi gibi sağlık sorunlarına da dikkat çekilir. Yiyecek israfından kaçınmanın önemi üzerinde durulur.</w:t>
            </w:r>
          </w:p>
          <w:p w:rsidR="00AC4B73" w:rsidP="006255EE" w14:paraId="2ECB8DE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AC4B73" w:rsidRPr="00570BC3" w:rsidP="00AC4B73" w14:paraId="02618038" w14:textId="7834178B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103-105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</w:tc>
      </w:tr>
      <w:tr w14:paraId="1E35D18E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6CEB695C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2C24BFF2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11B4F40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66036AC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270C5CD9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18E4645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0CEACECE" w14:textId="0DFF6783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0C3DD625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2052CA86" w14:textId="661640B2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23303A6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6255EE" w:rsidRPr="00570BC3" w14:paraId="6C96AB41" w14:textId="4D39325D">
      <w:pPr>
        <w:rPr>
          <w:rFonts w:ascii="Tahoma" w:hAnsi="Tahoma" w:cs="Tahoma"/>
          <w:color w:val="000000" w:themeColor="text1"/>
        </w:rPr>
      </w:pPr>
    </w:p>
    <w:p w:rsidR="006255EE" w14:paraId="6B34BD45" w14:textId="21A4B395">
      <w:pPr>
        <w:rPr>
          <w:rFonts w:ascii="Tahoma" w:hAnsi="Tahoma" w:cs="Tahoma"/>
          <w:color w:val="000000" w:themeColor="text1"/>
        </w:rPr>
      </w:pPr>
      <w:r w:rsidRPr="002B0A6F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365760</wp:posOffset>
                </wp:positionH>
                <wp:positionV relativeFrom="paragraph">
                  <wp:posOffset>129540</wp:posOffset>
                </wp:positionV>
                <wp:extent cx="6004560" cy="1668780"/>
                <wp:effectExtent l="0" t="0" r="0" b="0"/>
                <wp:wrapNone/>
                <wp:docPr id="81" name="Grup 8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8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2B0A6F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2B0A6F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2B0A6F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8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2B0A6F" w14:textId="79514A7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8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2B0A6F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2B0A6F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2B0A6F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81" o:spid="_x0000_s1025" style="width:472.8pt;height:131.4pt;margin-top:10.2pt;margin-left:28.8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2B0A6F" w14:paraId="21FB2B06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2B0A6F" w14:paraId="3BAE45EB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2B0A6F" w14:paraId="27BD1FD0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2B0A6F" w14:paraId="77130AC5" w14:textId="79514A79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2B0A6F" w14:paraId="248D3A94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2B0A6F" w14:paraId="590D085F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2B0A6F" w14:paraId="6406FEB9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5"/>
      <w:pgSz w:w="11906" w:h="16838"/>
      <w:pgMar w:top="567" w:right="567" w:bottom="567" w:left="737" w:header="283" w:footer="0" w:gutter="0"/>
      <w:pgNumType w:start="1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